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widowControl w:val="1"/>
        <w:pBdr>
          <w:top w:space="0" w:sz="0" w:val="nil"/>
          <w:left w:space="0" w:sz="0" w:val="nil"/>
          <w:bottom w:space="0" w:sz="0" w:val="nil"/>
          <w:right w:space="0" w:sz="0" w:val="nil"/>
          <w:between w:space="0" w:sz="0" w:val="nil"/>
        </w:pBdr>
        <w:shd w:fill="auto" w:val="clear"/>
        <w:tabs>
          <w:tab w:val="left" w:pos="5715"/>
        </w:tabs>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widowControl w:val="1"/>
        <w:pBdr>
          <w:top w:space="0" w:sz="0" w:val="nil"/>
          <w:left w:space="0" w:sz="0" w:val="nil"/>
          <w:bottom w:space="0" w:sz="0" w:val="nil"/>
          <w:right w:space="0" w:sz="0" w:val="nil"/>
          <w:between w:space="0" w:sz="0" w:val="nil"/>
        </w:pBdr>
        <w:shd w:fill="auto" w:val="clear"/>
        <w:tabs>
          <w:tab w:val="left" w:pos="5715"/>
        </w:tabs>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Call-Off Schedule 1 (Transparency Reports)</w:t>
      </w:r>
    </w:p>
    <w:p w:rsidR="00000000" w:rsidDel="00000000" w:rsidP="00000000" w:rsidRDefault="00000000" w:rsidRPr="00000000" w14:paraId="00000003">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 The Supplier recognises that the Buyer is subject to PPN 01/17 (Updates to transparency principles v1.1 (</w:t>
      </w:r>
      <w:hyperlink r:id="rId7">
        <w:r w:rsidDel="00000000" w:rsidR="00000000" w:rsidRPr="00000000">
          <w:rPr>
            <w:rFonts w:ascii="Arial" w:cs="Arial" w:eastAsia="Arial" w:hAnsi="Arial"/>
            <w:color w:val="0000ff"/>
            <w:sz w:val="24"/>
            <w:szCs w:val="24"/>
            <w:u w:val="single"/>
            <w:rtl w:val="0"/>
          </w:rPr>
          <w:t xml:space="preserve">https://www.gov.uk/government/publications/procurement-policy-note-0117-update-to-transparency-principles</w:t>
        </w:r>
      </w:hyperlink>
      <w:r w:rsidDel="00000000" w:rsidR="00000000" w:rsidRPr="00000000">
        <w:rPr>
          <w:rFonts w:ascii="Arial" w:cs="Arial" w:eastAsia="Arial" w:hAnsi="Arial"/>
          <w:color w:val="000000"/>
          <w:sz w:val="24"/>
          <w:szCs w:val="24"/>
          <w:rtl w:val="0"/>
        </w:rPr>
        <w:t xml:space="preserve">). The Supplier shall comply with the provisions of this Schedule in order to assist the Buyer with its compliance with its obligations under that PPN.</w:t>
      </w:r>
    </w:p>
    <w:p w:rsidR="00000000" w:rsidDel="00000000" w:rsidP="00000000" w:rsidRDefault="00000000" w:rsidRPr="00000000" w14:paraId="00000004">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5">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1.2</w:t>
        <w:tab/>
        <w:t xml:space="preserve">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000000" w:rsidDel="00000000" w:rsidP="00000000" w:rsidRDefault="00000000" w:rsidRPr="00000000" w14:paraId="00000006">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7">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000000" w:rsidDel="00000000" w:rsidP="00000000" w:rsidRDefault="00000000" w:rsidRPr="00000000" w14:paraId="00000008">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9">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 The Supplier shall provide accurate and up-to-date versions of each Transparency Report to the Buyer at the frequency referred to in the Annex of this Schedule.</w:t>
      </w:r>
    </w:p>
    <w:p w:rsidR="00000000" w:rsidDel="00000000" w:rsidP="00000000" w:rsidRDefault="00000000" w:rsidRPr="00000000" w14:paraId="0000000A">
      <w:pPr>
        <w:rPr>
          <w:rFonts w:ascii="Arial" w:cs="Arial" w:eastAsia="Arial" w:hAnsi="Arial"/>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0B">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C">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A: List of Transparency Reports</w:t>
      </w:r>
    </w:p>
    <w:tbl>
      <w:tblPr>
        <w:tblStyle w:val="Table1"/>
        <w:tblW w:w="8992.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43"/>
        <w:gridCol w:w="1553"/>
        <w:gridCol w:w="2248"/>
        <w:gridCol w:w="2248"/>
        <w:tblGridChange w:id="0">
          <w:tblGrid>
            <w:gridCol w:w="2943"/>
            <w:gridCol w:w="1553"/>
            <w:gridCol w:w="2248"/>
            <w:gridCol w:w="2248"/>
          </w:tblGrid>
        </w:tblGridChange>
      </w:tblGrid>
      <w:tr>
        <w:trPr>
          <w:trHeight w:val="123" w:hRule="atLeast"/>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Title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F">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Content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0">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Format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1">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Frequency </w:t>
            </w:r>
            <w:r w:rsidDel="00000000" w:rsidR="00000000" w:rsidRPr="00000000">
              <w:rPr>
                <w:rtl w:val="0"/>
              </w:rPr>
            </w:r>
          </w:p>
        </w:tc>
      </w:tr>
      <w:tr>
        <w:trPr>
          <w:trHeight w:val="214" w:hRule="atLeast"/>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2">
            <w:pPr>
              <w:tabs>
                <w:tab w:val="left" w:pos="3380"/>
              </w:tabs>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w:t>
            </w:r>
            <w:r w:rsidDel="00000000" w:rsidR="00000000" w:rsidRPr="00000000">
              <w:rPr>
                <w:rFonts w:ascii="Arial" w:cs="Arial" w:eastAsia="Arial" w:hAnsi="Arial"/>
                <w:color w:val="000000"/>
                <w:sz w:val="24"/>
                <w:szCs w:val="24"/>
                <w:rtl w:val="0"/>
              </w:rPr>
              <w:tab/>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3">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4">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7">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trHeight w:val="155" w:hRule="atLeast"/>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Contract Charges]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B">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D">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F">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trHeight w:val="155" w:hRule="atLeast"/>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[Key Subcontractors]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2">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trHeight w:val="155" w:hRule="atLeast"/>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[Technical]</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9">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B">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D">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trHeight w:val="214" w:hRule="atLeast"/>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 management]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30">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2">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bl>
    <w:bookmarkStart w:colFirst="0" w:colLast="0" w:name="bookmark=id.gjdgxs" w:id="0"/>
    <w:bookmarkEnd w:id="0"/>
    <w:p w:rsidR="00000000" w:rsidDel="00000000" w:rsidP="00000000" w:rsidRDefault="00000000" w:rsidRPr="00000000" w14:paraId="00000035">
      <w:pPr>
        <w:tabs>
          <w:tab w:val="left" w:pos="1251"/>
        </w:tabs>
        <w:rPr>
          <w:rFonts w:ascii="Arial" w:cs="Arial" w:eastAsia="Arial" w:hAnsi="Arial"/>
          <w:sz w:val="24"/>
          <w:szCs w:val="24"/>
        </w:rPr>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36">
      <w:pPr>
        <w:tabs>
          <w:tab w:val="left" w:pos="1251"/>
        </w:tabs>
        <w:rPr>
          <w:rFonts w:ascii="Arial" w:cs="Arial" w:eastAsia="Arial" w:hAnsi="Arial"/>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2">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3">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5">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6">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7">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RM6193</w:t>
      <w:tab/>
      <w:t xml:space="preserve">                                           </w:t>
    </w:r>
  </w:p>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9">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v3.0</w:t>
      <w:tab/>
    </w:r>
    <w:r w:rsidDel="00000000" w:rsidR="00000000" w:rsidRPr="00000000">
      <w:rPr>
        <w:rFonts w:ascii="Arial" w:cs="Arial" w:eastAsia="Arial" w:hAnsi="Arial"/>
        <w:color w:val="a6a6a6"/>
        <w:sz w:val="20"/>
        <w:szCs w:val="20"/>
        <w:rtl w:val="0"/>
      </w:rPr>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Call-Off Schedule 1 (Transparency Reports)</w:t>
    </w:r>
    <w:r w:rsidDel="00000000" w:rsidR="00000000" w:rsidRPr="00000000">
      <w:rPr>
        <w:rtl w:val="0"/>
      </w:rPr>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r w:rsidDel="00000000" w:rsidR="00000000" w:rsidRPr="00000000">
      <w:rPr>
        <w:rtl w:val="0"/>
      </w:rPr>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20</w:t>
    </w:r>
    <w:r w:rsidDel="00000000" w:rsidR="00000000" w:rsidRPr="00000000">
      <w:rPr>
        <w:rtl w:val="0"/>
      </w:rPr>
      <w:t xml:space="preserve">20</w:t>
    </w:r>
    <w:r w:rsidDel="00000000" w:rsidR="00000000" w:rsidRPr="00000000">
      <w:rPr>
        <w:rtl w:val="0"/>
      </w:rPr>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 (Transparency Reports)</w:t>
    </w:r>
    <w:r w:rsidDel="00000000" w:rsidR="00000000" w:rsidRPr="00000000">
      <w:rPr>
        <w:rtl w:val="0"/>
      </w:rPr>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ascii="Calibri" w:cs="Arial" w:eastAsia="Times New Roman" w:hAnsi="Calibri"/>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3.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procurement-policy-note-0117-update-to-transparency-principles"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5Vn8Sq+tFDdH/Xxf7sAT1C4p/ig==">AMUW2mVY+1kfRw5sOP56B3nmMRRHM0BqLN8StIJwkt2aN4F+isQkrjlxllsP9eOckHp4V/SIpYPA4gcQrPlw7cEMjoB+nyL4Fc+mLN1L6tCpaJUn9d34Qqc2jG2395zKALNJuQwZ/7quaeRxNBhWMZbS8iZAz534KA==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2018-06-18T12:33:00Z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